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4D" w:rsidRDefault="00CD1D4D" w:rsidP="00CD1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420D4">
        <w:rPr>
          <w:rFonts w:ascii="Times New Roman" w:hAnsi="Times New Roman" w:cs="Times New Roman"/>
          <w:sz w:val="28"/>
          <w:szCs w:val="28"/>
        </w:rPr>
        <w:t>УТВЕРЖДАЮ</w:t>
      </w:r>
    </w:p>
    <w:p w:rsidR="00CD1D4D" w:rsidRDefault="00CD1D4D" w:rsidP="00CD1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6557A">
        <w:rPr>
          <w:rFonts w:ascii="Times New Roman" w:hAnsi="Times New Roman" w:cs="Times New Roman"/>
          <w:sz w:val="28"/>
          <w:szCs w:val="28"/>
        </w:rPr>
        <w:t xml:space="preserve">                         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57A">
        <w:rPr>
          <w:rFonts w:ascii="Times New Roman" w:hAnsi="Times New Roman" w:cs="Times New Roman"/>
          <w:sz w:val="28"/>
          <w:szCs w:val="28"/>
        </w:rPr>
        <w:t>министра</w:t>
      </w:r>
      <w:r w:rsidR="0086557A">
        <w:rPr>
          <w:rFonts w:ascii="Times New Roman" w:hAnsi="Times New Roman" w:cs="Times New Roman"/>
          <w:sz w:val="28"/>
          <w:szCs w:val="28"/>
        </w:rPr>
        <w:t xml:space="preserve"> </w:t>
      </w:r>
      <w:r w:rsidR="0086557A">
        <w:rPr>
          <w:rFonts w:ascii="Times New Roman" w:hAnsi="Times New Roman" w:cs="Times New Roman"/>
          <w:sz w:val="28"/>
          <w:szCs w:val="28"/>
        </w:rPr>
        <w:t>сельского</w:t>
      </w:r>
      <w:r w:rsidR="0086557A">
        <w:rPr>
          <w:rFonts w:ascii="Times New Roman" w:hAnsi="Times New Roman" w:cs="Times New Roman"/>
          <w:sz w:val="28"/>
          <w:szCs w:val="28"/>
        </w:rPr>
        <w:t xml:space="preserve"> </w:t>
      </w:r>
      <w:r w:rsidR="0086557A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D1D4D" w:rsidRDefault="00CD1D4D" w:rsidP="00CD1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655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CD1D4D" w:rsidRDefault="00CD1D4D" w:rsidP="00CD1D4D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6557A">
        <w:rPr>
          <w:rFonts w:ascii="Times New Roman" w:hAnsi="Times New Roman" w:cs="Times New Roman"/>
          <w:sz w:val="28"/>
          <w:szCs w:val="28"/>
        </w:rPr>
        <w:t xml:space="preserve">Э.М. </w:t>
      </w:r>
      <w:proofErr w:type="spellStart"/>
      <w:r w:rsidR="0086557A">
        <w:rPr>
          <w:rFonts w:ascii="Times New Roman" w:hAnsi="Times New Roman" w:cs="Times New Roman"/>
          <w:sz w:val="28"/>
          <w:szCs w:val="28"/>
        </w:rPr>
        <w:t>Текенов</w:t>
      </w:r>
      <w:proofErr w:type="spellEnd"/>
    </w:p>
    <w:p w:rsidR="00CD1D4D" w:rsidRPr="00CD1D4D" w:rsidRDefault="00CD1D4D" w:rsidP="00CD1D4D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__________2019 года</w:t>
      </w:r>
      <w:bookmarkStart w:id="0" w:name="_GoBack"/>
      <w:bookmarkEnd w:id="0"/>
    </w:p>
    <w:p w:rsidR="00CB0AF2" w:rsidRPr="00CB0AF2" w:rsidRDefault="00CB0AF2" w:rsidP="00CB0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0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показателя результативности контрольно-надзорной деятельности при осуществлении регионального государственного контроля в сфере перевозок пассажиров и багажа легковым такси</w:t>
      </w:r>
    </w:p>
    <w:tbl>
      <w:tblPr>
        <w:tblW w:w="1469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144"/>
        <w:gridCol w:w="554"/>
        <w:gridCol w:w="112"/>
        <w:gridCol w:w="1410"/>
        <w:gridCol w:w="663"/>
        <w:gridCol w:w="50"/>
        <w:gridCol w:w="670"/>
        <w:gridCol w:w="1192"/>
        <w:gridCol w:w="73"/>
        <w:gridCol w:w="1252"/>
        <w:gridCol w:w="479"/>
        <w:gridCol w:w="365"/>
        <w:gridCol w:w="1224"/>
        <w:gridCol w:w="30"/>
        <w:gridCol w:w="474"/>
        <w:gridCol w:w="3442"/>
        <w:gridCol w:w="68"/>
      </w:tblGrid>
      <w:tr w:rsidR="00CB0AF2" w:rsidRPr="00CB0AF2" w:rsidTr="003A24D5">
        <w:trPr>
          <w:trHeight w:val="12"/>
          <w:tblCellSpacing w:w="15" w:type="dxa"/>
        </w:trPr>
        <w:tc>
          <w:tcPr>
            <w:tcW w:w="1449" w:type="dxa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Align w:val="center"/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D1D4D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надзору за техническим состоянием самоходных машин и других видов техники (Инспекция) 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Общая информация по показателю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(индекс) показателя </w:t>
            </w:r>
          </w:p>
        </w:tc>
        <w:tc>
          <w:tcPr>
            <w:tcW w:w="1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цели и наименование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задачи и наименование 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показателя 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сопоставление показателя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А.1 </w:t>
            </w:r>
          </w:p>
        </w:tc>
        <w:tc>
          <w:tcPr>
            <w:tcW w:w="1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погибших и получивших ранения в ДТП в результате осуществления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перевозке пассажиров легковым такси 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профилактические мероприятия и систематическое наблюдение за исполнением обязательных требований, анализ и прогнозирование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исполнения обязательных требований при осуществлении деятельности субъектами надзора;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погибших и получивших ранения в ДТП в результате осуществления деятельности по перевозке пассажиров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легковым такси на 100000 жителей Калининградской области </w:t>
            </w:r>
          </w:p>
        </w:tc>
        <w:tc>
          <w:tcPr>
            <w:tcW w:w="2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D1D4D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данных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работниками требований, установленных федеральными законами и принимаемыми в соответствии с ними иными нормативными правовыми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актами Российской Федерации в сфере перевозок пассажиров и багажа легковым такси, посредством организации и проведения проверок субъектов контроля, а также мероприятий по проверке транспортных средств в процессе их эксплуатации;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F2" w:rsidRPr="00CB0AF2" w:rsidTr="003A24D5">
        <w:trPr>
          <w:tblCellSpacing w:w="15" w:type="dxa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принятие предусмотренных законодательством Российской Федерации мер по пресечению и (или) устранению последствий выявленных нарушений 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расчета показателя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 = (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Вчп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Вчр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100000 x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Тлт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(данных) переменных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Вчп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погибших 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D1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УГИБДД УМВД России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D1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инфо</w:t>
            </w:r>
            <w:r w:rsidR="000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рмация, предоставленная УГИБДД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Вчр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ранения 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УГИБДД УМВД России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</w:p>
        </w:tc>
        <w:tc>
          <w:tcPr>
            <w:tcW w:w="6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инфо</w:t>
            </w:r>
            <w:r w:rsidR="000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рмация, предоставленная УГИБДД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DA7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r w:rsidR="00DA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D1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орган Федеральной службы государственной статистики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D1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официальный сайт Территориального органа Федеральной службы государственной статистики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="00CD1D4D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Тлт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автомобилей легкового такси 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D1D4D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надзору за техническим состоянием самоходных машин и других видов техники (Инспекция) 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D1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реестр выданных разрешений на осуществление деятельности по перевозке пассажиров и багажа легковым такси на территории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размещенный на официальном сайте Министерства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 Республики Алтай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транспортных средств </w:t>
            </w:r>
          </w:p>
        </w:tc>
        <w:tc>
          <w:tcPr>
            <w:tcW w:w="3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УГИБДД УМВД России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</w:p>
        </w:tc>
        <w:tc>
          <w:tcPr>
            <w:tcW w:w="6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инфо</w:t>
            </w:r>
            <w:r w:rsidR="000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рмация, предоставленная УГИБДД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погибших и получивших ранения в ДТП в результате осуществления деятельности по перевозке пассажиров легковым такси на 100000 жителей </w:t>
            </w:r>
            <w:r w:rsidR="00CD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Погибший - лицо, погибшее на месте дорожно-транспортного происшествия либо умершее от его последствий в течение 30 последующих суток.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Раненый - лицо, получившее в дорожно-транспортном происшествии телесные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повреждения, обусловившие его госпитализацию на срок не менее одних суток либо необходимость амбулаторного лечения.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- устройство, предназначенное для перевозки по дорогам людей, грузов или оборудования, установленного на нем.</w:t>
            </w:r>
          </w:p>
          <w:p w:rsidR="00CB0AF2" w:rsidRPr="00CB0AF2" w:rsidRDefault="00CB0AF2" w:rsidP="00282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легкового такси - транспортное средство, на которое юридическим лицом или индивидуальным предпринимателем получено разрешение на осуществление деятельности по перевозке пассажиров и багажа легковым такси на территории </w:t>
            </w:r>
            <w:r w:rsidR="0028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III. Состояние показателя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основных обстоятельств, характеризующих текущее значение показателя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A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r w:rsidR="000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лике Алтай, по данным УГИБДД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 w:rsidR="000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="00FE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10.12.2019 года было совершено 367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ДТП, </w:t>
            </w:r>
            <w:r w:rsidR="00FE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которых погибло 22</w:t>
            </w:r>
            <w:r w:rsidR="005A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E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ранено 440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CB0AF2" w:rsidRPr="00CB0AF2" w:rsidRDefault="005A59D3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информации УГИБДД 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10.12.2019 года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зарегистрировано </w:t>
            </w:r>
            <w:r w:rsidR="0089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84157 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средства.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Отдельная статистика УГИБДД УМВД России по </w:t>
            </w:r>
            <w:r w:rsidR="005A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количестве ДТП с участием автомобилей легкового такси не ведется.</w:t>
            </w:r>
          </w:p>
          <w:p w:rsidR="00CB0AF2" w:rsidRPr="00CB0AF2" w:rsidRDefault="00CB0AF2" w:rsidP="00CB2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реестром выданных разрешений на осуществление деятельности по перевозке пассажиров и багажа легковым такси на территории </w:t>
            </w:r>
            <w:r w:rsidR="005A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11.12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транспортных средств имеют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на осуществление деятельности по перевозке пассажиров и багажа легковым такси.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стратегической цели и поэтапных значений показателя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"Повышение безопасности дорожного движения в 2013-2020 годах", утвержденная </w:t>
            </w:r>
            <w:hyperlink r:id="rId5" w:history="1">
              <w:r w:rsidRPr="00CB0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03.10.2013 N 864</w:t>
              </w:r>
            </w:hyperlink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AF2" w:rsidRPr="00CB0AF2" w:rsidRDefault="0086557A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B0AF2" w:rsidRPr="00CB0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  </w:r>
            </w:hyperlink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в сфере перевозок пассажиров и багажа легковым такси направлен на предупреждение,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пресечение нарушений подконтрольными субъектами требований, установленных федеральными законами и принимаемыми в соответствии с ними иными нормативно-правовыми актами Российской Федерации в области транспорта, посредством организации и проведения проверок субъектов контроля, проверок транспортных средств в процессе их эксплуатации, принятия предусмотренных законодательством Российской Федерации мер по пресечению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устранению последствий выявленных нарушений, а также </w:t>
            </w: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связанную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осуществления деятельности субъектами контроля.</w:t>
            </w:r>
          </w:p>
        </w:tc>
      </w:tr>
      <w:tr w:rsidR="003A24D5" w:rsidRPr="00CB0AF2" w:rsidTr="003A24D5">
        <w:trPr>
          <w:tblCellSpacing w:w="15" w:type="dxa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3A24D5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Годы и целевые (прогнозные) значения показателей 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3A24D5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3A24D5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3A24D5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3A24D5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24D5" w:rsidRPr="00CB0AF2" w:rsidRDefault="003A24D5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24D5" w:rsidRPr="00CB0AF2" w:rsidRDefault="003A24D5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4D5" w:rsidRPr="00CB0AF2" w:rsidRDefault="003A24D5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4D5" w:rsidRPr="00CB0AF2" w:rsidTr="003A24D5">
        <w:trPr>
          <w:gridAfter w:val="1"/>
          <w:wAfter w:w="5" w:type="dxa"/>
          <w:tblCellSpacing w:w="15" w:type="dxa"/>
        </w:trPr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3A24D5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E349DB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  <w:r w:rsidR="003A24D5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E349DB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  <w:r w:rsidR="003A24D5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E349DB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  <w:r w:rsidR="003A24D5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4D5" w:rsidRPr="00CB0AF2" w:rsidRDefault="00E349DB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24D5" w:rsidRPr="00CB0AF2" w:rsidRDefault="00E349DB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24D5" w:rsidRPr="00CB0AF2" w:rsidRDefault="003A24D5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24D5" w:rsidRPr="00CB0AF2" w:rsidRDefault="003A24D5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F2" w:rsidRPr="00CB0AF2" w:rsidTr="003A24D5">
        <w:trPr>
          <w:gridAfter w:val="1"/>
          <w:wAfter w:w="5" w:type="dxa"/>
          <w:tblCellSpacing w:w="15" w:type="dxa"/>
        </w:trPr>
        <w:tc>
          <w:tcPr>
            <w:tcW w:w="14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способов и методов достижения поставленных целевых значений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текущих значений ключевых показателей результативности.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степени достижения целевых показателей.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Выявление факторов, влияющих на изменение значений ключевых показателей.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предложений, направленных на устранение или минимизацию негативных факторов, выявленных в ходе анализа текущих показателей результативности (актуализация обязательных требований).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уровня кадрового потенциала должностных лиц, осуществляющих контрольно-надзорную деятельность.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рисков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значений показателя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неукомплектованность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состава;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отсутствие материально-технического обеспечения;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изменения нормативных правовых актов;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недостоверность данных;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форс-мажорные обстоятельства.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Динамический анализ изменения факторов риска характеризует уровень достижения или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значений показателя. Оценка уровня достижения или </w:t>
            </w: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значений показателя позволит выявить наиболее существенный фактор риска с целью последующего принятия корректирующих мероприятий с учетом имеющихся полномочий.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Методика сбора и управления данными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146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 (в том числе в формате открытых данных)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необходимых данных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Вчп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погибших в ДТП.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Вчр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получивших ранения в ДТП.</w:t>
            </w:r>
            <w:proofErr w:type="gramEnd"/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Тлт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автомобилей легкового такси.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транспортных средств.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исходных данных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2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рмация, предоставленная УГИБДД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Республике Алтай, официальный сайт УГИБДД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Территориального органа Федеральной службы государственной статистики по 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Министерства 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 Республики Алтай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Характеристики, отражающие специфику данных, в том числе географический объем исходных данных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Вчп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погибших в ДТП.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Вчр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получивших ранения в ДТП.</w:t>
            </w:r>
            <w:proofErr w:type="gramEnd"/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</w:t>
            </w:r>
            <w:r w:rsidR="00C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Тлт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автомобилей легкового такси.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</w:t>
            </w:r>
            <w:proofErr w:type="spell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транспортных средств.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Требования/руководства по сбору данных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86557A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B0AF2" w:rsidRPr="00CB0A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Правительства РФ от 17.05.2016 N 934-р "Об утверждении основных направлений разработки и внедрения системы оценки результативности и эффективности контрольно-надзорной деятельности"</w:t>
              </w:r>
            </w:hyperlink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данных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2FFB" w:rsidP="00CB2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отсутствия в УГИБДД 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статистики о дорожно-транспортных происшествиях, произошедших с участием автомобилей легкового такси, количество погибших и пострадавших в результате осуществления деятельности по перевозке пассажиров легковым такси берется в процентном отношении от общего количества погибших и пострадавших исходя из процентного отношения общего количества транспортных средств, зарегистрированных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количеству транспортных средств</w:t>
            </w:r>
            <w:proofErr w:type="gramEnd"/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разрешение на осуществление деятельности по перевозке пассажиров и багажа легковым такси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="00CB0AF2"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обеспечения качества данных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за данными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3A24D5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надзору за техническим состоянием самоходных машин и других видов техники (Инспекция) 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и сроки представления окончательных результатов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3A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  <w:r w:rsidR="003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года, следующего за отчетным годом, </w:t>
            </w:r>
            <w:r w:rsidR="003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надзору за техническим состоянием самоходных машин и других видов техники (Инспекция) </w:t>
            </w:r>
            <w:r w:rsidR="003A24D5"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анализ контрольно-надзорной деятельности по утвержденным перечням показателей результативности и эффективности контрольно-надзорной деятельности.</w:t>
            </w:r>
          </w:p>
        </w:tc>
      </w:tr>
      <w:tr w:rsidR="00CB0AF2" w:rsidRPr="00CB0AF2" w:rsidTr="003A24D5">
        <w:trPr>
          <w:tblCellSpacing w:w="15" w:type="dxa"/>
        </w:trPr>
        <w:tc>
          <w:tcPr>
            <w:tcW w:w="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CB0AF2" w:rsidP="00CB0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внешнего аудита </w:t>
            </w:r>
          </w:p>
        </w:tc>
        <w:tc>
          <w:tcPr>
            <w:tcW w:w="9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AF2" w:rsidRPr="00CB0AF2" w:rsidRDefault="00AD030E" w:rsidP="00CB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</w:tbl>
    <w:p w:rsidR="00200896" w:rsidRDefault="00200896" w:rsidP="00AD030E"/>
    <w:sectPr w:rsidR="00200896" w:rsidSect="00E65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5B"/>
    <w:rsid w:val="000B71B1"/>
    <w:rsid w:val="00200896"/>
    <w:rsid w:val="0028289B"/>
    <w:rsid w:val="003A24D5"/>
    <w:rsid w:val="005A59D3"/>
    <w:rsid w:val="0086557A"/>
    <w:rsid w:val="0089287E"/>
    <w:rsid w:val="009B3776"/>
    <w:rsid w:val="009C7E8F"/>
    <w:rsid w:val="00AD030E"/>
    <w:rsid w:val="00BF66FE"/>
    <w:rsid w:val="00CA525B"/>
    <w:rsid w:val="00CB0AF2"/>
    <w:rsid w:val="00CB2FFB"/>
    <w:rsid w:val="00CD1D4D"/>
    <w:rsid w:val="00DA7EE2"/>
    <w:rsid w:val="00E349DB"/>
    <w:rsid w:val="00E65D27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B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B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554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7309575" TargetMode="External"/><Relationship Id="rId5" Type="http://schemas.openxmlformats.org/officeDocument/2006/relationships/hyperlink" Target="http://docs.cntd.ru/document/4990485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2019-12-11T04:21:00Z</dcterms:created>
  <dcterms:modified xsi:type="dcterms:W3CDTF">2019-12-12T02:20:00Z</dcterms:modified>
</cp:coreProperties>
</file>